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77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514"/>
        <w:gridCol w:w="839"/>
        <w:gridCol w:w="7417"/>
      </w:tblGrid>
      <w:tr>
        <w:trPr>
          <w:trHeight w:val="10484" w:hRule="atLeast"/>
        </w:trPr>
        <w:tc>
          <w:tcPr>
            <w:tcW w:w="75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  <w:p>
            <w:pPr>
              <w:pStyle w:val="Default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Расположение груза на краю штока либо под наклоном может вызвать перекос штока и повреждение внутренней поверхности гильзы и поршня домкрата.</w:t>
            </w:r>
          </w:p>
          <w:p>
            <w:pPr>
              <w:pStyle w:val="Default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Прекратите подачу рабочей жидкости в домкрат при выдвижении штока до красной риски.</w:t>
            </w:r>
          </w:p>
          <w:p>
            <w:pPr>
              <w:pStyle w:val="Default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4. ХРАНЕНИЕ</w:t>
            </w:r>
          </w:p>
          <w:p>
            <w:pPr>
              <w:pStyle w:val="Default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Условия хранения должны соответствовать условиям хранения 3 по ГОСТ 15150-69. В помещении, где хранится домкрат, не должно быть среды вызывающей коррозию материалов.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 длительном хранении домкрата необходимо смазать его антикоррозийной смазкой.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5. ГАРАНТИЙНЫЕ ОБЯЗАТЕЛЬСТВА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5.1. Поставщик гарантирует надежную работу изделия в течение12 месяцев со дня его продажи при условии соблюдения потребителем правил эксплуатации, изложенных в настоящем РЭ.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5.2.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Претензии принимаются только при наличии настоящего руководства по эксплуатации с отметкой о дате продажи и штампом организации-продавца.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5.3. </w:t>
            </w:r>
            <w:r>
              <w:rPr>
                <w:rFonts w:cs="Arial" w:ascii="Arial" w:hAnsi="Arial"/>
                <w:b/>
                <w:sz w:val="20"/>
                <w:szCs w:val="20"/>
              </w:rPr>
              <w:t>Гарантийные обязательства не распространяются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- естественный износ резинотехнических изделий.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- изделия с механическими повреждениями, вызванными перегрузкой и неправильной эксплуатацией.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-  изделия со следами самостоятельных ремонтных работ.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firstLine="7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tbl>
            <w:tblPr>
              <w:tblW w:w="773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3011"/>
              <w:gridCol w:w="4721"/>
            </w:tblGrid>
            <w:tr>
              <w:trPr>
                <w:trHeight w:val="192" w:hRule="atLeast"/>
              </w:trPr>
              <w:tc>
                <w:tcPr>
                  <w:tcW w:w="301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17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Штамп магазина:</w:t>
                  </w:r>
                </w:p>
              </w:tc>
              <w:tc>
                <w:tcPr>
                  <w:tcW w:w="472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Модель:________________________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Количество:_____________________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Дата изготовления:_______________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Дата продажи:___________________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ООО "НПФ ИНСТАН"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tbl>
            <w:tblPr>
              <w:tblW w:w="685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6857"/>
            </w:tblGrid>
            <w:tr>
              <w:trPr/>
              <w:tc>
                <w:tcPr>
                  <w:tcW w:w="685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128"/>
                    <w:jc w:val="center"/>
                    <w:rPr>
                      <w:rFonts w:ascii="Arial" w:hAnsi="Arial" w:cs="Arial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b/>
                      <w:sz w:val="24"/>
                      <w:szCs w:val="24"/>
                    </w:rPr>
                    <w:t xml:space="preserve">Санкт-Петербург 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8"/>
                <w:szCs w:val="48"/>
              </w:rPr>
            </w:pPr>
            <w:r>
              <w:rPr>
                <w:rFonts w:cs="Arial" w:ascii="Arial" w:hAnsi="Arial"/>
                <w:b/>
                <w:sz w:val="48"/>
                <w:szCs w:val="48"/>
              </w:rPr>
              <w:t>Сверхнизкие домкраты с гравитационным возвратом штока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96"/>
                <w:szCs w:val="96"/>
              </w:rPr>
            </w:pPr>
            <w:r>
              <w:rPr>
                <w:rFonts w:cs="Arial" w:ascii="Arial" w:hAnsi="Arial"/>
                <w:b/>
                <w:sz w:val="48"/>
                <w:szCs w:val="4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96"/>
                <w:szCs w:val="9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96"/>
                <w:szCs w:val="9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96"/>
                <w:szCs w:val="9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96"/>
                <w:szCs w:val="9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96"/>
                <w:szCs w:val="96"/>
              </w:rPr>
            </w:pPr>
            <w:r>
              <w:rPr>
                <w:rFonts w:cs="Arial" w:ascii="Arial" w:hAnsi="Arial"/>
                <w:b/>
                <w:sz w:val="96"/>
                <w:szCs w:val="96"/>
              </w:rPr>
              <w:t>ДСН-МС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Руководство по эксплуатации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/>
              <w:drawing>
                <wp:inline distT="0" distB="0" distL="0" distR="0">
                  <wp:extent cx="4561205" cy="21050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20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Санкт-Петербург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2024г.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6194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194"/>
      </w:tblGrid>
      <w:tr>
        <w:trPr>
          <w:trHeight w:val="10486" w:hRule="atLeast"/>
        </w:trPr>
        <w:tc>
          <w:tcPr>
            <w:tcW w:w="161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1. НАЗНАЧЕНИЕ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Домкрат сверхнизкий гидравлический грузовой с гравитационным возвратом предназначен для подъема груза, для монтажно-демонтажных работ. В качестве привода используется ручной или электрический гидравлический насос одностороннего действия с рабочим давлением 1500 бар. </w:t>
            </w:r>
            <w:r>
              <w:rPr>
                <w:rFonts w:cs="Arial" w:ascii="Arial" w:hAnsi="Arial"/>
                <w:b/>
                <w:sz w:val="20"/>
                <w:szCs w:val="20"/>
              </w:rPr>
              <w:t>Насос в комплект не входит</w:t>
            </w:r>
            <w:r>
              <w:rPr>
                <w:rFonts w:cs="Arial" w:ascii="Arial" w:hAnsi="Arial"/>
                <w:bCs/>
                <w:sz w:val="20"/>
                <w:szCs w:val="20"/>
              </w:rPr>
              <w:t>.</w:t>
            </w:r>
            <w:r>
              <w:rPr>
                <w:rFonts w:cs="Arial" w:ascii="Arial" w:hAnsi="Arial"/>
                <w:sz w:val="20"/>
                <w:szCs w:val="20"/>
              </w:rPr>
              <w:t xml:space="preserve"> Домкрат работает в любом пространственном положении.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2. ТЕХНИЧЕСКИЕ ХАРАКТЕРИСТИКИ</w:t>
            </w:r>
          </w:p>
          <w:tbl>
            <w:tblPr>
              <w:tblStyle w:val="a3"/>
              <w:tblW w:w="1575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585"/>
              <w:gridCol w:w="1135"/>
              <w:gridCol w:w="1842"/>
              <w:gridCol w:w="1134"/>
              <w:gridCol w:w="1559"/>
              <w:gridCol w:w="337"/>
              <w:gridCol w:w="1223"/>
              <w:gridCol w:w="1700"/>
              <w:gridCol w:w="1561"/>
              <w:gridCol w:w="1416"/>
              <w:gridCol w:w="1277"/>
              <w:gridCol w:w="988"/>
            </w:tblGrid>
            <w:tr>
              <w:trPr>
                <w:trHeight w:val="278" w:hRule="atLeast"/>
              </w:trPr>
              <w:tc>
                <w:tcPr>
                  <w:tcW w:w="158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Модель</w:t>
                  </w:r>
                </w:p>
              </w:tc>
              <w:tc>
                <w:tcPr>
                  <w:tcW w:w="113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Рабочее давление, бар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Грузоподъемность, т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6"/>
                      <w:szCs w:val="16"/>
                      <w:lang w:val="ru-RU" w:bidi="ar-SA"/>
                    </w:rPr>
                    <w:t>Ход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6"/>
                      <w:szCs w:val="16"/>
                      <w:lang w:val="ru-RU" w:bidi="ar-SA"/>
                    </w:rPr>
                    <w:t xml:space="preserve">Штока </w:t>
                  </w:r>
                  <w:r>
                    <w:rPr>
                      <w:rFonts w:eastAsia="Calibri" w:cs="Arial" w:ascii="Arial" w:hAnsi="Arial"/>
                      <w:kern w:val="0"/>
                      <w:sz w:val="16"/>
                      <w:szCs w:val="16"/>
                      <w:lang w:val="en-US" w:bidi="ar-SA"/>
                    </w:rPr>
                    <w:t>(G)</w:t>
                  </w:r>
                  <w:r>
                    <w:rPr>
                      <w:rFonts w:eastAsia="Calibri" w:cs="Arial" w:ascii="Arial" w:hAnsi="Arial"/>
                      <w:kern w:val="0"/>
                      <w:sz w:val="16"/>
                      <w:szCs w:val="16"/>
                      <w:lang w:val="ru-RU" w:bidi="ar-SA"/>
                    </w:rPr>
                    <w:t>, мм</w:t>
                  </w:r>
                </w:p>
              </w:tc>
              <w:tc>
                <w:tcPr>
                  <w:tcW w:w="155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Минимальная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 xml:space="preserve">высота 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en-US" w:bidi="ar-SA"/>
                    </w:rPr>
                    <w:t>(A)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, мм</w:t>
                  </w:r>
                </w:p>
              </w:tc>
              <w:tc>
                <w:tcPr>
                  <w:tcW w:w="1560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 xml:space="preserve">Максимальная высота 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en-US" w:bidi="ar-SA"/>
                    </w:rPr>
                    <w:t>(F)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, мм</w:t>
                  </w:r>
                </w:p>
              </w:tc>
              <w:tc>
                <w:tcPr>
                  <w:tcW w:w="1700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Наружный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диаметр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en-US" w:bidi="ar-SA"/>
                    </w:rPr>
                    <w:t xml:space="preserve"> (D)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, мм</w:t>
                  </w:r>
                </w:p>
              </w:tc>
              <w:tc>
                <w:tcPr>
                  <w:tcW w:w="1561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Диаметр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поршня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en-US" w:bidi="ar-SA"/>
                    </w:rPr>
                    <w:t xml:space="preserve"> (E)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, мм</w:t>
                  </w:r>
                </w:p>
              </w:tc>
              <w:tc>
                <w:tcPr>
                  <w:tcW w:w="141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Диаметр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штока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en-US" w:bidi="ar-SA"/>
                    </w:rPr>
                    <w:t xml:space="preserve"> (E)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, мм</w:t>
                  </w:r>
                </w:p>
              </w:tc>
              <w:tc>
                <w:tcPr>
                  <w:tcW w:w="1277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val="en-US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Рабочий объем, см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vertAlign w:val="superscript"/>
                      <w:lang w:val="en-US" w:bidi="ar-SA"/>
                    </w:rPr>
                    <w:t>3</w:t>
                  </w:r>
                </w:p>
              </w:tc>
              <w:tc>
                <w:tcPr>
                  <w:tcW w:w="98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Масса, кг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158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ДСН5-10МС</w:t>
                  </w:r>
                </w:p>
              </w:tc>
              <w:tc>
                <w:tcPr>
                  <w:tcW w:w="1135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1500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5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</w:t>
                  </w:r>
                </w:p>
              </w:tc>
              <w:tc>
                <w:tcPr>
                  <w:tcW w:w="155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30</w:t>
                  </w:r>
                </w:p>
              </w:tc>
              <w:tc>
                <w:tcPr>
                  <w:tcW w:w="1560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40</w:t>
                  </w:r>
                </w:p>
              </w:tc>
              <w:tc>
                <w:tcPr>
                  <w:tcW w:w="1700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60</w:t>
                  </w:r>
                </w:p>
              </w:tc>
              <w:tc>
                <w:tcPr>
                  <w:tcW w:w="1561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21</w:t>
                  </w:r>
                </w:p>
              </w:tc>
              <w:tc>
                <w:tcPr>
                  <w:tcW w:w="141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21</w:t>
                  </w:r>
                </w:p>
              </w:tc>
              <w:tc>
                <w:tcPr>
                  <w:tcW w:w="1277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3,5</w:t>
                  </w:r>
                </w:p>
              </w:tc>
              <w:tc>
                <w:tcPr>
                  <w:tcW w:w="98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0,8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158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ДСН10-10МС</w:t>
                  </w:r>
                </w:p>
              </w:tc>
              <w:tc>
                <w:tcPr>
                  <w:tcW w:w="1135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</w:t>
                  </w:r>
                </w:p>
              </w:tc>
              <w:tc>
                <w:tcPr>
                  <w:tcW w:w="155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30</w:t>
                  </w:r>
                </w:p>
              </w:tc>
              <w:tc>
                <w:tcPr>
                  <w:tcW w:w="1560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40</w:t>
                  </w:r>
                </w:p>
              </w:tc>
              <w:tc>
                <w:tcPr>
                  <w:tcW w:w="1700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70</w:t>
                  </w:r>
                </w:p>
              </w:tc>
              <w:tc>
                <w:tcPr>
                  <w:tcW w:w="1561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30</w:t>
                  </w:r>
                </w:p>
              </w:tc>
              <w:tc>
                <w:tcPr>
                  <w:tcW w:w="141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30</w:t>
                  </w:r>
                </w:p>
              </w:tc>
              <w:tc>
                <w:tcPr>
                  <w:tcW w:w="1277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7,1</w:t>
                  </w:r>
                </w:p>
              </w:tc>
              <w:tc>
                <w:tcPr>
                  <w:tcW w:w="98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1,3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158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ДСН25-10МС</w:t>
                  </w:r>
                </w:p>
              </w:tc>
              <w:tc>
                <w:tcPr>
                  <w:tcW w:w="1135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25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</w:t>
                  </w:r>
                </w:p>
              </w:tc>
              <w:tc>
                <w:tcPr>
                  <w:tcW w:w="155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30</w:t>
                  </w:r>
                </w:p>
              </w:tc>
              <w:tc>
                <w:tcPr>
                  <w:tcW w:w="1560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40</w:t>
                  </w:r>
                </w:p>
              </w:tc>
              <w:tc>
                <w:tcPr>
                  <w:tcW w:w="1700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90</w:t>
                  </w:r>
                </w:p>
              </w:tc>
              <w:tc>
                <w:tcPr>
                  <w:tcW w:w="1561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47</w:t>
                  </w:r>
                </w:p>
              </w:tc>
              <w:tc>
                <w:tcPr>
                  <w:tcW w:w="141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47</w:t>
                  </w:r>
                </w:p>
              </w:tc>
              <w:tc>
                <w:tcPr>
                  <w:tcW w:w="1277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17,3</w:t>
                  </w:r>
                </w:p>
              </w:tc>
              <w:tc>
                <w:tcPr>
                  <w:tcW w:w="98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2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158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ДСН50-10МС</w:t>
                  </w:r>
                </w:p>
              </w:tc>
              <w:tc>
                <w:tcPr>
                  <w:tcW w:w="1135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50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</w:t>
                  </w:r>
                </w:p>
              </w:tc>
              <w:tc>
                <w:tcPr>
                  <w:tcW w:w="155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30</w:t>
                  </w:r>
                </w:p>
              </w:tc>
              <w:tc>
                <w:tcPr>
                  <w:tcW w:w="1560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40</w:t>
                  </w:r>
                </w:p>
              </w:tc>
              <w:tc>
                <w:tcPr>
                  <w:tcW w:w="1700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118</w:t>
                  </w:r>
                </w:p>
              </w:tc>
              <w:tc>
                <w:tcPr>
                  <w:tcW w:w="1561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70</w:t>
                  </w:r>
                </w:p>
              </w:tc>
              <w:tc>
                <w:tcPr>
                  <w:tcW w:w="141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70</w:t>
                  </w:r>
                </w:p>
              </w:tc>
              <w:tc>
                <w:tcPr>
                  <w:tcW w:w="1277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38,5</w:t>
                  </w:r>
                </w:p>
              </w:tc>
              <w:tc>
                <w:tcPr>
                  <w:tcW w:w="98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158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ДСН100-10МС</w:t>
                  </w:r>
                </w:p>
              </w:tc>
              <w:tc>
                <w:tcPr>
                  <w:tcW w:w="1135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100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</w:t>
                  </w:r>
                </w:p>
              </w:tc>
              <w:tc>
                <w:tcPr>
                  <w:tcW w:w="155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30</w:t>
                  </w:r>
                </w:p>
              </w:tc>
              <w:tc>
                <w:tcPr>
                  <w:tcW w:w="1560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40</w:t>
                  </w:r>
                </w:p>
              </w:tc>
              <w:tc>
                <w:tcPr>
                  <w:tcW w:w="1700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152</w:t>
                  </w:r>
                </w:p>
              </w:tc>
              <w:tc>
                <w:tcPr>
                  <w:tcW w:w="1561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94</w:t>
                  </w:r>
                </w:p>
              </w:tc>
              <w:tc>
                <w:tcPr>
                  <w:tcW w:w="141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94</w:t>
                  </w:r>
                </w:p>
              </w:tc>
              <w:tc>
                <w:tcPr>
                  <w:tcW w:w="1277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69,3</w:t>
                  </w:r>
                </w:p>
              </w:tc>
              <w:tc>
                <w:tcPr>
                  <w:tcW w:w="98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5</w:t>
                  </w:r>
                </w:p>
              </w:tc>
            </w:tr>
            <w:tr>
              <w:trPr>
                <w:trHeight w:val="232" w:hRule="atLeast"/>
              </w:trPr>
              <w:tc>
                <w:tcPr>
                  <w:tcW w:w="158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ДСН150-10МС</w:t>
                  </w:r>
                </w:p>
              </w:tc>
              <w:tc>
                <w:tcPr>
                  <w:tcW w:w="1135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150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</w:t>
                  </w:r>
                </w:p>
              </w:tc>
              <w:tc>
                <w:tcPr>
                  <w:tcW w:w="155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30</w:t>
                  </w:r>
                </w:p>
              </w:tc>
              <w:tc>
                <w:tcPr>
                  <w:tcW w:w="1560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40</w:t>
                  </w:r>
                </w:p>
              </w:tc>
              <w:tc>
                <w:tcPr>
                  <w:tcW w:w="1700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180</w:t>
                  </w:r>
                </w:p>
              </w:tc>
              <w:tc>
                <w:tcPr>
                  <w:tcW w:w="1561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116</w:t>
                  </w:r>
                </w:p>
              </w:tc>
              <w:tc>
                <w:tcPr>
                  <w:tcW w:w="141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116</w:t>
                  </w:r>
                </w:p>
              </w:tc>
              <w:tc>
                <w:tcPr>
                  <w:tcW w:w="1277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105,6</w:t>
                  </w:r>
                </w:p>
              </w:tc>
              <w:tc>
                <w:tcPr>
                  <w:tcW w:w="98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7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158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ДСН200-10МС</w:t>
                  </w:r>
                </w:p>
              </w:tc>
              <w:tc>
                <w:tcPr>
                  <w:tcW w:w="1135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200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10</w:t>
                  </w:r>
                </w:p>
              </w:tc>
              <w:tc>
                <w:tcPr>
                  <w:tcW w:w="155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30</w:t>
                  </w:r>
                </w:p>
              </w:tc>
              <w:tc>
                <w:tcPr>
                  <w:tcW w:w="1560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40</w:t>
                  </w:r>
                </w:p>
              </w:tc>
              <w:tc>
                <w:tcPr>
                  <w:tcW w:w="1700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204</w:t>
                  </w:r>
                </w:p>
              </w:tc>
              <w:tc>
                <w:tcPr>
                  <w:tcW w:w="1561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132</w:t>
                  </w:r>
                </w:p>
              </w:tc>
              <w:tc>
                <w:tcPr>
                  <w:tcW w:w="141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132</w:t>
                  </w:r>
                </w:p>
              </w:tc>
              <w:tc>
                <w:tcPr>
                  <w:tcW w:w="1277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136,8</w:t>
                  </w:r>
                </w:p>
              </w:tc>
              <w:tc>
                <w:tcPr>
                  <w:tcW w:w="98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9</w:t>
                  </w:r>
                </w:p>
              </w:tc>
            </w:tr>
            <w:tr>
              <w:trPr>
                <w:trHeight w:val="5602" w:hRule="atLeast"/>
              </w:trPr>
              <w:tc>
                <w:tcPr>
                  <w:tcW w:w="7255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widowControl/>
                    <w:spacing w:before="0" w:after="0"/>
                    <w:jc w:val="both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eastAsia="ru-RU" w:bidi="ar-SA"/>
                    </w:rPr>
                  </w:r>
                </w:p>
                <w:p>
                  <w:pPr>
                    <w:pStyle w:val="Default"/>
                    <w:widowControl/>
                    <w:spacing w:before="0" w:after="0"/>
                    <w:jc w:val="both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eastAsia="ru-RU" w:bidi="ar-SA"/>
                    </w:rPr>
                    <w:t>3. РАБОТА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>3.1. Подключите рукав внешнего насоса к домкрату через быстроразъемное соединение (БРС).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>3.2. Поставьте домкрат на ровную горизонтальную поверхность.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 xml:space="preserve">3.3. С помощью насоса закачайте масло в гидроцилиндр. Остановите насос, когда шток домкрата полностью выдвинется, на штоке есть метка, в виде красной риски сигнализирующая о крайнем положении штока. 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 xml:space="preserve">Диаметр штока домкрата равен диаметру поршня, поэтому </w:t>
                  </w:r>
                  <w:r>
                    <w:rPr>
                      <w:rFonts w:eastAsia="Calibri" w:cs="Arial" w:ascii="Arial" w:hAnsi="Arial"/>
                      <w:b/>
                      <w:bCs/>
                      <w:kern w:val="0"/>
                      <w:sz w:val="20"/>
                      <w:szCs w:val="20"/>
                      <w:lang w:val="ru-RU" w:bidi="ar-SA"/>
                    </w:rPr>
                    <w:t>поршень домкрата не имеет механического ограничения на выдвижение</w:t>
                  </w: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 xml:space="preserve">. Для того, чтобы поршень не вышел за пределы гильзы домкрата, в верхней части корпуса предусмотрено отверстие для слива избытка рабочей жидкости. 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>3.4. Установите домкрат так, чтобы БРС было направлено вверх.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>3.5. Откройте перепускной винт или переключите распределитель насоса в положение "слив". В домкрате нет механизма возврата, шток возвращается в исходное положение под весом поднимаемого груза или вдавливанием.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>3.6. Если шток домкрата выдвигается и возвращается рывками, значит, в домкрате остался воздух. Повторите действия п.п. 3.3-3.5.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Arial" w:hAnsi="Arial" w:cs="Arial"/>
                      <w:b/>
                      <w:b/>
                      <w:bCs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>3.7. Установите домкрат на ровную горизонтальную поверхность штоком вверх. Домкрат готов к работе.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bCs/>
                    </w:rPr>
                  </w:pPr>
                  <w:r>
                    <w:rPr>
                      <w:rFonts w:eastAsia="Calibri" w:cs="Arial" w:ascii="Arial" w:hAnsi="Arial"/>
                      <w:b/>
                      <w:bCs/>
                      <w:kern w:val="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bCs/>
                    </w:rPr>
                  </w:pPr>
                  <w:r>
                    <w:rPr>
                      <w:rFonts w:eastAsia="Calibri" w:cs="Arial" w:ascii="Arial" w:hAnsi="Arial"/>
                      <w:b/>
                      <w:bCs/>
                      <w:kern w:val="0"/>
                      <w:lang w:val="ru-RU" w:bidi="ar-SA"/>
                    </w:rPr>
                    <w:t>Внимание!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bidi="ar-SA"/>
                    </w:rPr>
                    <w:t>Следите за тем, чтобы нагрузка располагалась по центру штока домкрата (по его оси) и была направлена перпендикулярно опорной плоскости домкрата.</w:t>
                  </w:r>
                </w:p>
              </w:tc>
              <w:tc>
                <w:tcPr>
                  <w:tcW w:w="33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eastAsia="ru-RU" w:bidi="ar-SA"/>
                    </w:rPr>
                  </w:r>
                </w:p>
              </w:tc>
              <w:tc>
                <w:tcPr>
                  <w:tcW w:w="8165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kern w:val="0"/>
                      <w:lang w:val="ru-RU" w:bidi="ar-SA"/>
                    </w:rPr>
                    <w:drawing>
                      <wp:inline distT="0" distB="0" distL="0" distR="0">
                        <wp:extent cx="5045710" cy="870585"/>
                        <wp:effectExtent l="0" t="0" r="0" b="0"/>
                        <wp:docPr id="2" name="Рисунок 4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4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5710" cy="870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Рис 1.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"/>
                      <w:szCs w:val="2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"/>
                      <w:szCs w:val="2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"/>
                      <w:szCs w:val="2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"/>
                      <w:szCs w:val="2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"/>
                      <w:szCs w:val="2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"/>
                      <w:szCs w:val="2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"/>
                      <w:szCs w:val="2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"/>
                      <w:szCs w:val="2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"/>
                      <w:szCs w:val="2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"/>
                      <w:szCs w:val="2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"/>
                      <w:szCs w:val="2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"/>
                      <w:szCs w:val="2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"/>
                      <w:szCs w:val="2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"/>
                      <w:szCs w:val="2"/>
                      <w:lang w:val="ru-RU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kern w:val="0"/>
                      <w:sz w:val="20"/>
                      <w:szCs w:val="20"/>
                      <w:lang w:val="ru-RU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"/>
          <w:szCs w:val="2"/>
        </w:rPr>
      </w:pPr>
      <w:r>
        <w:rPr/>
      </w:r>
    </w:p>
    <w:sectPr>
      <w:type w:val="nextPage"/>
      <w:pgSz w:orient="landscape" w:w="16838" w:h="11906"/>
      <w:pgMar w:left="851" w:right="820" w:gutter="0" w:header="0" w:top="567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6c2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nhideWhenUsed/>
    <w:rsid w:val="00235e29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e5275"/>
    <w:rPr>
      <w:rFonts w:ascii="Tahoma" w:hAnsi="Tahoma" w:cs="Tahoma"/>
      <w:sz w:val="16"/>
      <w:szCs w:val="16"/>
      <w:lang w:eastAsia="en-US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e44903"/>
    <w:rPr>
      <w:sz w:val="22"/>
      <w:szCs w:val="22"/>
      <w:lang w:eastAsia="en-US"/>
    </w:rPr>
  </w:style>
  <w:style w:type="character" w:styleId="Style17" w:customStyle="1">
    <w:name w:val="Нижний колонтитул Знак"/>
    <w:basedOn w:val="DefaultParagraphFont"/>
    <w:uiPriority w:val="99"/>
    <w:qFormat/>
    <w:rsid w:val="00e44903"/>
    <w:rPr>
      <w:sz w:val="22"/>
      <w:szCs w:val="22"/>
      <w:lang w:eastAsia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e52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e449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7"/>
    <w:uiPriority w:val="99"/>
    <w:unhideWhenUsed/>
    <w:rsid w:val="00e449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636c7d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2c6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6342E8D-A6D3-4464-8F13-5C3FE6A1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LibreOffice/7.4.7.2$Linux_X86_64 LibreOffice_project/40$Build-2</Application>
  <AppVersion>15.0000</AppVersion>
  <Pages>2</Pages>
  <Words>486</Words>
  <Characters>3082</Characters>
  <CharactersWithSpaces>3447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2024-01-25T10:17:00Z</dcterms:created>
  <dc:creator>НПФ Инстан</dc:creator>
  <dc:description/>
  <dc:language>ru-RU</dc:language>
  <cp:lastModifiedBy/>
  <cp:lastPrinted>2023-05-15T16:07:00Z</cp:lastPrinted>
  <dcterms:modified xsi:type="dcterms:W3CDTF">2024-11-14T14:31:44Z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